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3" w:rsidRPr="00D90126" w:rsidRDefault="00D90126" w:rsidP="00D90126">
      <w:pPr>
        <w:jc w:val="center"/>
        <w:rPr>
          <w:b/>
          <w:sz w:val="32"/>
        </w:rPr>
      </w:pPr>
      <w:r w:rsidRPr="00D90126">
        <w:rPr>
          <w:b/>
          <w:sz w:val="32"/>
        </w:rPr>
        <w:t>Treaty</w:t>
      </w:r>
      <w:bookmarkStart w:id="0" w:name="_GoBack"/>
      <w:bookmarkEnd w:id="0"/>
      <w:r w:rsidRPr="00D90126">
        <w:rPr>
          <w:b/>
          <w:sz w:val="32"/>
        </w:rPr>
        <w:t xml:space="preserve"> of Velasco – Side by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Articles of an agreement entered into between his Excellency</w:t>
            </w:r>
            <w:r w:rsidRPr="00C43F15">
              <w:rPr>
                <w:rFonts w:ascii="Arial" w:hAnsi="Arial" w:cs="Arial"/>
                <w:sz w:val="20"/>
                <w:szCs w:val="20"/>
              </w:rPr>
              <w:br/>
              <w:t xml:space="preserve">David G. Burnet </w:t>
            </w:r>
            <w:r w:rsidRPr="00C43F15">
              <w:rPr>
                <w:rFonts w:ascii="Arial" w:hAnsi="Arial" w:cs="Arial"/>
                <w:strike/>
                <w:sz w:val="20"/>
                <w:szCs w:val="20"/>
              </w:rPr>
              <w:t>of the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 President of the Republic of Texas of the</w:t>
            </w:r>
            <w:r w:rsidRPr="00C43F15">
              <w:rPr>
                <w:rFonts w:ascii="Arial" w:hAnsi="Arial" w:cs="Arial"/>
                <w:sz w:val="20"/>
                <w:szCs w:val="20"/>
              </w:rPr>
              <w:br/>
              <w:t>one part &amp; His Excellency General Antonio Lopez de Santa Ana</w:t>
            </w:r>
            <w:r w:rsidRPr="00C43F15">
              <w:rPr>
                <w:rFonts w:ascii="Arial" w:hAnsi="Arial" w:cs="Arial"/>
                <w:sz w:val="20"/>
                <w:szCs w:val="20"/>
              </w:rPr>
              <w:br/>
              <w:t>President General in Chief of the other part-</w:t>
            </w: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Antonio Lopez de Santa Anna, General in Chief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of the Army of Operations and President of the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Republic of Mexico, before the Government established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in Texas, solemnly pledges himself to fulfill the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stipulations contained in the following Articles, so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far as concerns himself.</w:t>
            </w: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Aricle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1st--</w:t>
            </w:r>
          </w:p>
          <w:p w:rsidR="00CA4515" w:rsidRPr="00C43F15" w:rsidRDefault="00CA4515" w:rsidP="000F37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General Antonio Lopez de Santa Anna agrees that he will not take up arms nor</w:t>
            </w:r>
            <w:r w:rsidR="000F37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will he exercise his influence to cause them</w:t>
            </w:r>
            <w:r w:rsidR="000F37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to be taken up against the People of Texas during the present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War of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Independance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Art. 1.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He will not take up arms nor cause them to be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taken up against the </w:t>
            </w:r>
            <w:r w:rsidR="000F37D2">
              <w:rPr>
                <w:rFonts w:ascii="Arial" w:eastAsia="Times New Roman" w:hAnsi="Arial" w:cs="Arial"/>
                <w:sz w:val="20"/>
                <w:szCs w:val="20"/>
              </w:rPr>
              <w:t>People of Texas during the pres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ent War of Independence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--2d--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All hostilities between the Mexican &amp;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Texian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troops 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cease immediately both on land &amp; water--</w:t>
            </w: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Art. 2d.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He will give his Orders that in the shortest time the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Mexican Troops may leave the Territory of Texas</w:t>
            </w: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3d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The Mexican troops will evacuate the territory of Texas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passing to the other side of the Rio Grande del Norte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Art. 3d.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He will so prepare matters in the Cabinet of Mexico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that the Mission that ma</w:t>
            </w:r>
            <w:r w:rsidR="000F37D2">
              <w:rPr>
                <w:rFonts w:ascii="Arial" w:eastAsia="Times New Roman" w:hAnsi="Arial" w:cs="Arial"/>
                <w:sz w:val="20"/>
                <w:szCs w:val="20"/>
              </w:rPr>
              <w:t>y be sent thither by the Govern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ment of Texas, may be well received, and that by means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negociations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all differences may be settled and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the Independence that has been declared by the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Convention may be acknowledged</w:t>
            </w: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4th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The Mexican Army in its retreat shall not take the</w:t>
            </w:r>
            <w:r w:rsidRPr="00C43F15">
              <w:rPr>
                <w:rFonts w:ascii="Arial" w:hAnsi="Arial" w:cs="Arial"/>
                <w:sz w:val="20"/>
                <w:szCs w:val="20"/>
              </w:rPr>
              <w:br/>
              <w:t>property of any person wi</w:t>
            </w:r>
            <w:r w:rsidR="00C43F15">
              <w:rPr>
                <w:rFonts w:ascii="Arial" w:hAnsi="Arial" w:cs="Arial"/>
                <w:sz w:val="20"/>
                <w:szCs w:val="20"/>
              </w:rPr>
              <w:t>thout his consent &amp; just indem</w:t>
            </w:r>
            <w:r w:rsidRPr="00C43F15">
              <w:rPr>
                <w:rFonts w:ascii="Arial" w:hAnsi="Arial" w:cs="Arial"/>
                <w:sz w:val="20"/>
                <w:szCs w:val="20"/>
              </w:rPr>
              <w:t>nification, using only such articles as may be necessary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for its subsistence; in cases when the owner may not be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present &amp; remitting to the Commander in Chief of the Army of</w:t>
            </w:r>
            <w:r w:rsidRPr="00C43F15">
              <w:rPr>
                <w:rFonts w:ascii="Arial" w:hAnsi="Arial" w:cs="Arial"/>
                <w:sz w:val="20"/>
                <w:szCs w:val="20"/>
              </w:rPr>
              <w:br/>
              <w:t>Texas or to the Commissioners to be appointed for the adjustment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of such matters an account of the value of the property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consumed, the place where taken &amp; the name of the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owner if it can be ascertained--</w:t>
            </w: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Art. 4.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A treaty of Commerce,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Amity and limits will be estab</w:t>
            </w:r>
            <w:r w:rsidRPr="00C43F15">
              <w:rPr>
                <w:rFonts w:ascii="Arial" w:hAnsi="Arial" w:cs="Arial"/>
                <w:sz w:val="20"/>
                <w:szCs w:val="20"/>
              </w:rPr>
              <w:t>lished between Mexico and Texas. The territory of the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latter not to extend beyond the Rio. Bravo del Norte.</w:t>
            </w: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--5th--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That all private property including cattle, horses, negro slaves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or indentured persons of whatever denomination that may have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been captured by any portion of the Mexican Army or may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have taken refuge in the said army since the commencement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of the late invasion shall be restored to the Commander of the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Texian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Army or to such other persons as may be appointed by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the Government of Texas to receive them--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--6th--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The troops of both armies will refrain from coming into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contact with each other &amp; to this end the Commander in Chief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of the Army of Texas will be careful not to approach within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 shorter distance of the Mexican Army than five leagues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7th</w:t>
            </w:r>
          </w:p>
          <w:p w:rsidR="00CA4515" w:rsidRPr="004F6C8F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The Mexican Army shall not make any other delay on its march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than that which is necessary to take up their hospitals baggage &amp;c &amp;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cross the rivers--any delay not necessary to these purposes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to be considered as an infraction of this agreement--</w:t>
            </w: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8th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By Express to be immediately dispatched, this agreement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shall be sent to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Gen'l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Filisola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&amp; to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Gen'l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T.J. Rusk Commander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Texian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Army in order that they may be apprised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of its stipulations &amp; to this they will exchange engagements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to comply with the same</w:t>
            </w: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9th</w:t>
            </w:r>
          </w:p>
          <w:p w:rsidR="00CA4515" w:rsidRPr="004F6C8F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That all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Texian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prisoners now in possession of the Mexican Army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be forthwith released &amp; furnished with free passports to return to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their homes in consideration of which a corresponding number of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rank &amp; file now in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posession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of the Government of Texas shall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be immediately released -- The remainder of the Mexican prisoners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that continue in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posession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of the Government of Texas to be treated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with due humanity any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extraodinary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comforts that may be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furnished them to be at the charge of the Government of Mexico.--</w:t>
            </w: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10th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Genl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Antonio Lopez de Santa Anna will be sent to Vera Cruz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as soon as it shall be deemed proper --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Art. 5th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The prompt return of Genl. Santa Anna to Vera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Cruz being indispensable for the purpose of effecting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his solemn engagements, the Government of Texas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will provide for his immediate embarkation for</w:t>
            </w:r>
            <w:r w:rsidR="00C43F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said port</w:t>
            </w:r>
          </w:p>
        </w:tc>
      </w:tr>
      <w:tr w:rsidR="00CA4515" w:rsidRPr="00C43F15" w:rsidTr="00C43F15"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The contracting parties sign this instrument for the above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mentioned purposes by duplicate at the Port of Velasco this</w:t>
            </w:r>
            <w:r w:rsid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>14th day of May 1836--David G. Burnet--Antonio Lopez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de Santa Anna==James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Collinsworth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Secy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of State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F15">
              <w:rPr>
                <w:rFonts w:ascii="Arial" w:hAnsi="Arial" w:cs="Arial"/>
                <w:sz w:val="20"/>
                <w:szCs w:val="20"/>
              </w:rPr>
              <w:t xml:space="preserve">Bailey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Hardiman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Secy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of Treasury P.H. Grayson Attorney</w:t>
            </w:r>
            <w:r w:rsidRPr="00C43F1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Genl</w:t>
            </w:r>
            <w:proofErr w:type="spellEnd"/>
          </w:p>
        </w:tc>
        <w:tc>
          <w:tcPr>
            <w:tcW w:w="4788" w:type="dxa"/>
          </w:tcPr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Art. 6th</w:t>
            </w:r>
          </w:p>
          <w:p w:rsidR="00CA4515" w:rsidRPr="00C43F15" w:rsidRDefault="00CA4515" w:rsidP="00C43F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F15">
              <w:rPr>
                <w:rFonts w:ascii="Arial" w:eastAsia="Times New Roman" w:hAnsi="Arial" w:cs="Arial"/>
                <w:sz w:val="20"/>
                <w:szCs w:val="20"/>
              </w:rPr>
              <w:t>This instrument being Obligatory on one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part as well as on the other will be signed by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duplicate, remaining folded and sealed </w:t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untill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>negociation</w:t>
            </w:r>
            <w:proofErr w:type="spellEnd"/>
            <w:r w:rsidRPr="00C43F15">
              <w:rPr>
                <w:rFonts w:ascii="Arial" w:eastAsia="Times New Roman" w:hAnsi="Arial" w:cs="Arial"/>
                <w:sz w:val="20"/>
                <w:szCs w:val="20"/>
              </w:rPr>
              <w:t xml:space="preserve"> shall have been concluded, when it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will be restored to his Excellency General Santa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Anna; no use of it to be made before that time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unless there should be an infraction by either</w:t>
            </w:r>
            <w:r w:rsidRPr="00C43F15">
              <w:rPr>
                <w:rFonts w:ascii="Arial" w:eastAsia="Times New Roman" w:hAnsi="Arial" w:cs="Arial"/>
                <w:sz w:val="20"/>
                <w:szCs w:val="20"/>
              </w:rPr>
              <w:br/>
              <w:t>of the Contracting parties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Port of Velasco May 14. 1836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(Signed) David G. Burnet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>Antonio Lopez de Santa Anna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Collinsworth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Sec. of State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 xml:space="preserve">Baily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Hardiman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Sec. of Treasury</w:t>
            </w:r>
          </w:p>
          <w:p w:rsidR="00CA4515" w:rsidRPr="00C43F15" w:rsidRDefault="00CA4515" w:rsidP="00C43F15">
            <w:pPr>
              <w:rPr>
                <w:rFonts w:ascii="Arial" w:hAnsi="Arial" w:cs="Arial"/>
                <w:sz w:val="20"/>
                <w:szCs w:val="20"/>
              </w:rPr>
            </w:pPr>
            <w:r w:rsidRPr="00C43F15">
              <w:rPr>
                <w:rFonts w:ascii="Arial" w:hAnsi="Arial" w:cs="Arial"/>
                <w:sz w:val="20"/>
                <w:szCs w:val="20"/>
              </w:rPr>
              <w:t xml:space="preserve">P. H. Grayson </w:t>
            </w:r>
            <w:proofErr w:type="spellStart"/>
            <w:r w:rsidRPr="00C43F15">
              <w:rPr>
                <w:rFonts w:ascii="Arial" w:hAnsi="Arial" w:cs="Arial"/>
                <w:sz w:val="20"/>
                <w:szCs w:val="20"/>
              </w:rPr>
              <w:t>Atty</w:t>
            </w:r>
            <w:proofErr w:type="spellEnd"/>
            <w:r w:rsidRPr="00C43F15">
              <w:rPr>
                <w:rFonts w:ascii="Arial" w:hAnsi="Arial" w:cs="Arial"/>
                <w:sz w:val="20"/>
                <w:szCs w:val="20"/>
              </w:rPr>
              <w:t xml:space="preserve"> Genl.</w:t>
            </w:r>
          </w:p>
        </w:tc>
      </w:tr>
    </w:tbl>
    <w:p w:rsidR="00CA4515" w:rsidRDefault="00CA4515"/>
    <w:sectPr w:rsidR="00CA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15"/>
    <w:rsid w:val="000F37D2"/>
    <w:rsid w:val="004F6C8F"/>
    <w:rsid w:val="008F7976"/>
    <w:rsid w:val="00A83FBC"/>
    <w:rsid w:val="00BD4508"/>
    <w:rsid w:val="00C43F15"/>
    <w:rsid w:val="00CA4515"/>
    <w:rsid w:val="00D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909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4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2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3894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9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3</cp:revision>
  <dcterms:created xsi:type="dcterms:W3CDTF">2015-01-07T15:41:00Z</dcterms:created>
  <dcterms:modified xsi:type="dcterms:W3CDTF">2015-01-09T22:15:00Z</dcterms:modified>
</cp:coreProperties>
</file>